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jc w:val="both"/>
        <w:textAlignment w:val="auto"/>
        <w:rPr>
          <w:rFonts w:hint="eastAsia" w:ascii="方正黑体_GBK" w:hAnsi="方正黑体_GBK" w:eastAsia="方正黑体_GBK" w:cs="方正黑体_GBK"/>
          <w:b w:val="0"/>
          <w:bCs w:val="0"/>
          <w:sz w:val="32"/>
          <w:szCs w:val="32"/>
          <w:u w:val="none"/>
          <w:lang w:val="en-US" w:eastAsia="zh-CN"/>
        </w:rPr>
      </w:pPr>
      <w:r>
        <w:rPr>
          <w:rFonts w:hint="eastAsia" w:ascii="方正黑体_GBK" w:hAnsi="方正黑体_GBK" w:eastAsia="方正黑体_GBK" w:cs="方正黑体_GBK"/>
          <w:b w:val="0"/>
          <w:bCs w:val="0"/>
          <w:sz w:val="32"/>
          <w:szCs w:val="32"/>
          <w:u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val="0"/>
          <w:color w:val="auto"/>
          <w:w w:val="95"/>
          <w:sz w:val="44"/>
          <w:szCs w:val="44"/>
          <w:u w:val="none"/>
          <w:lang w:val="en-US" w:eastAsia="zh-CN"/>
        </w:rPr>
      </w:pPr>
      <w:r>
        <w:rPr>
          <w:rFonts w:hint="eastAsia" w:ascii="方正小标宋简体" w:hAnsi="方正小标宋简体" w:eastAsia="方正小标宋简体" w:cs="方正小标宋简体"/>
          <w:b w:val="0"/>
          <w:bCs w:val="0"/>
          <w:color w:val="auto"/>
          <w:w w:val="95"/>
          <w:sz w:val="44"/>
          <w:szCs w:val="44"/>
          <w:u w:val="none"/>
          <w:lang w:val="en-US" w:eastAsia="zh-CN"/>
        </w:rPr>
        <w:t>第二期“圆梦计划·双创100”特训营招生简章</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u w:val="none"/>
          <w:lang w:val="en-US" w:eastAsia="zh-CN"/>
        </w:rPr>
      </w:pPr>
      <w:r>
        <w:rPr>
          <w:rFonts w:hint="eastAsia" w:ascii="方正黑体_GBK" w:hAnsi="方正黑体_GBK" w:eastAsia="方正黑体_GBK" w:cs="方正黑体_GBK"/>
          <w:b w:val="0"/>
          <w:bCs w:val="0"/>
          <w:sz w:val="32"/>
          <w:szCs w:val="32"/>
          <w:u w:val="none"/>
          <w:lang w:val="en-US" w:eastAsia="zh-CN"/>
        </w:rPr>
        <w:t>一、课程设计思路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sz w:val="32"/>
          <w:szCs w:val="32"/>
          <w:u w:val="none"/>
          <w:lang w:val="en-US" w:eastAsia="zh-CN"/>
        </w:rPr>
        <w:t>基于课程受众需要，本次特训营主要采用模拟实训方式开展培训，学员将按创业程度和创业类型分组，每组学员在创业导师指导下，有针对性的开展创业指导，根据学员实际需求设定学习目标，通过逐步学习课程各模块后，不断完善创业方案，在导师的帮助下解决实际问题，最终以答辩形式考核学习成果。</w:t>
      </w:r>
      <w:r>
        <w:rPr>
          <w:rFonts w:hint="eastAsia" w:ascii="方正仿宋_GBK" w:hAnsi="方正仿宋_GBK" w:eastAsia="方正仿宋_GBK" w:cs="方正仿宋_GBK"/>
          <w:sz w:val="32"/>
          <w:szCs w:val="32"/>
          <w:lang w:val="en-US" w:eastAsia="zh-CN"/>
        </w:rPr>
        <w:t>根据首期“圆梦计划·双创100”特训营实施情况，第二期特训营将保留模拟创业、班级建设、教学模块多元化等特点，并在以下几方面进行改进：</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因材施教，根据创业程度分组精细化教学。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特训营学员遴选自全省有创业意向或在创业初期的学员，两类学员各有特点，从首期特训营经验来看，处于创业初期的学员困难更多来自于经营管理，团队建设等实际问题，而有创业意向的学员更困惑于如何论证和落地自己的创业想法。根据学员创业程度分组，设置不同的创业目标，进一步提高课程效果。</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合理分布集中授课时间，优化时间安排。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在首期特训营课程设置中，为给学员提供更完善全面的课程内容，课程安排较为紧张，集中授课时间分布不均。第二期拟设集中授课时间3次，每次3天（周五、周六、周日），每次集中授课之间相隔一个月，易于学员消化课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right="0" w:rightChars="0" w:firstLine="643" w:firstLineChars="200"/>
        <w:jc w:val="left"/>
        <w:textAlignment w:val="auto"/>
        <w:outlineLvl w:val="9"/>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完善课程内容比重，进一步贴近圆梦学员特点。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首期特训营学员反馈，将进一步调整课程比重。如压缩融资类课程的比重，加强实训类课程的比重；增加经历与圆梦学员相似的分享嘉宾；增加导师与学员交流时间等，将课程进一步贴近圆梦学员的特点，从而提高课程质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u w:val="none"/>
          <w:lang w:val="en-US" w:eastAsia="zh-CN"/>
        </w:rPr>
      </w:pPr>
      <w:r>
        <w:rPr>
          <w:rFonts w:hint="eastAsia" w:ascii="方正黑体_GBK" w:hAnsi="方正黑体_GBK" w:eastAsia="方正黑体_GBK" w:cs="方正黑体_GBK"/>
          <w:b w:val="0"/>
          <w:bCs w:val="0"/>
          <w:sz w:val="32"/>
          <w:szCs w:val="32"/>
          <w:u w:val="none"/>
          <w:lang w:val="en-US" w:eastAsia="zh-CN"/>
        </w:rPr>
        <w:t>课程模块</w:t>
      </w:r>
    </w:p>
    <w:tbl>
      <w:tblPr>
        <w:tblStyle w:val="3"/>
        <w:tblW w:w="887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11"/>
        <w:gridCol w:w="1221"/>
        <w:gridCol w:w="1232"/>
        <w:gridCol w:w="3993"/>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jc w:val="center"/>
        </w:trPr>
        <w:tc>
          <w:tcPr>
            <w:tcW w:w="887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第一阶段（2018年1</w:t>
            </w:r>
            <w:r>
              <w:rPr>
                <w:rFonts w:hint="eastAsia" w:ascii="方正黑体_GBK" w:hAnsi="方正黑体_GBK" w:eastAsia="方正黑体_GBK" w:cs="方正黑体_GBK"/>
                <w:color w:val="000000"/>
                <w:kern w:val="0"/>
                <w:sz w:val="24"/>
                <w:lang w:val="en-US" w:eastAsia="zh-CN"/>
              </w:rPr>
              <w:t>0</w:t>
            </w:r>
            <w:r>
              <w:rPr>
                <w:rFonts w:hint="eastAsia" w:ascii="方正黑体_GBK" w:hAnsi="方正黑体_GBK" w:eastAsia="方正黑体_GBK" w:cs="方正黑体_GBK"/>
                <w:color w:val="000000"/>
                <w:kern w:val="0"/>
                <w:sz w:val="24"/>
              </w:rPr>
              <w:t>月</w:t>
            </w:r>
            <w:r>
              <w:rPr>
                <w:rFonts w:hint="eastAsia" w:ascii="方正黑体_GBK" w:hAnsi="方正黑体_GBK" w:eastAsia="方正黑体_GBK" w:cs="方正黑体_GBK"/>
                <w:color w:val="000000"/>
                <w:kern w:val="0"/>
                <w:sz w:val="24"/>
                <w:lang w:val="en-US" w:eastAsia="zh-CN"/>
              </w:rPr>
              <w:t>26日至10月28日</w:t>
            </w:r>
            <w:r>
              <w:rPr>
                <w:rFonts w:hint="eastAsia" w:ascii="方正黑体_GBK" w:hAnsi="方正黑体_GBK" w:eastAsia="方正黑体_GBK" w:cs="方正黑体_GBK"/>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日期</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时间</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课程</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内容介绍</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011" w:type="dxa"/>
            <w:vMerge w:val="restart"/>
            <w:tcBorders>
              <w:top w:val="single" w:color="000000" w:sz="4" w:space="0"/>
              <w:left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周五</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12:00-13:20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学员报到</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参训学员报到，确认信息（身份证），入住酒店，领取培训资料。</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12:10-13:40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午餐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学一食堂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4"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14:30-15:20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开营仪式</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1.合影（15分钟）；</w:t>
            </w:r>
          </w:p>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2.播放“圆梦计划”宣传片（5分钟）；</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3.校领导致欢迎词（5分钟）；</w:t>
            </w:r>
          </w:p>
          <w:p>
            <w:pPr>
              <w:widowControl/>
              <w:spacing w:line="310" w:lineRule="exact"/>
              <w:jc w:val="lef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4.学员代表发言（15分钟）；</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5.团省委领导讲话（5分钟）；</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6.全体合唱团歌（2分钟）。</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国际交流中心三楼国会厅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15:30-17:30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hint="eastAsia"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auto"/>
                <w:kern w:val="0"/>
                <w:sz w:val="20"/>
                <w:szCs w:val="20"/>
                <w:lang w:val="en-US" w:eastAsia="zh-CN"/>
              </w:rPr>
              <w:t>“四个走在全国前列”重要讲话精神学习与研讨</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百名优秀创业者集中学习十九大精神</w:t>
            </w:r>
            <w:r>
              <w:rPr>
                <w:rFonts w:hint="eastAsia" w:ascii="方正仿宋_GBK" w:hAnsi="方正仿宋_GBK" w:eastAsia="方正仿宋_GBK" w:cs="方正仿宋_GBK"/>
                <w:color w:val="000000"/>
                <w:kern w:val="0"/>
                <w:sz w:val="20"/>
                <w:szCs w:val="20"/>
                <w:lang w:eastAsia="zh-CN"/>
              </w:rPr>
              <w:t>及习总书记在十三届全国人大一次会议上参加广东代表团审议时的重要讲话。共同讨论</w:t>
            </w:r>
            <w:r>
              <w:rPr>
                <w:rFonts w:hint="eastAsia" w:ascii="方正仿宋_GBK" w:hAnsi="方正仿宋_GBK" w:eastAsia="方正仿宋_GBK" w:cs="方正仿宋_GBK"/>
                <w:color w:val="000000"/>
                <w:kern w:val="0"/>
                <w:sz w:val="20"/>
                <w:szCs w:val="20"/>
                <w:lang w:val="en-US" w:eastAsia="zh-CN"/>
              </w:rPr>
              <w:t>青年群体</w:t>
            </w:r>
            <w:r>
              <w:rPr>
                <w:rFonts w:hint="eastAsia" w:ascii="方正仿宋_GBK" w:hAnsi="方正仿宋_GBK" w:eastAsia="方正仿宋_GBK" w:cs="方正仿宋_GBK"/>
                <w:color w:val="000000"/>
                <w:kern w:val="0"/>
                <w:sz w:val="20"/>
                <w:szCs w:val="20"/>
                <w:lang w:eastAsia="zh-CN"/>
              </w:rPr>
              <w:t>如何</w:t>
            </w:r>
            <w:r>
              <w:rPr>
                <w:rFonts w:hint="eastAsia" w:ascii="方正仿宋_GBK" w:hAnsi="方正仿宋_GBK" w:eastAsia="方正仿宋_GBK" w:cs="方正仿宋_GBK"/>
                <w:color w:val="000000"/>
                <w:kern w:val="0"/>
                <w:sz w:val="20"/>
                <w:szCs w:val="20"/>
                <w:lang w:val="en-US" w:eastAsia="zh-CN"/>
              </w:rPr>
              <w:t>在新时代中发挥能动性，</w:t>
            </w:r>
            <w:r>
              <w:rPr>
                <w:rFonts w:hint="eastAsia" w:ascii="方正仿宋_GBK" w:hAnsi="方正仿宋_GBK" w:eastAsia="方正仿宋_GBK" w:cs="方正仿宋_GBK"/>
                <w:color w:val="000000"/>
                <w:kern w:val="0"/>
                <w:sz w:val="20"/>
                <w:szCs w:val="20"/>
                <w:lang w:eastAsia="zh-CN"/>
              </w:rPr>
              <w:t>助力广东“四个走在全国前列”。</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国际交流中心三楼国会厅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17:40-18:30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晚餐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围餐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jc w:val="center"/>
        </w:trPr>
        <w:tc>
          <w:tcPr>
            <w:tcW w:w="1011" w:type="dxa"/>
            <w:vMerge w:val="continue"/>
            <w:tcBorders>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19:00-20:30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课程模块一</w:t>
            </w:r>
          </w:p>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创业团队</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团队建立对策及技巧，解析创业团队的特点，使学员能够准确把握创业团队管理中的重点，规避创业初期团队管理风险。</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国际交流中心三楼国会厅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 w:hRule="atLeast"/>
          <w:jc w:val="center"/>
        </w:trPr>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周六</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07:30-08:20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早餐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08:30-17:30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团队拓展</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1.团队破冰；</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2.组长选举；</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3.以小组为单位，确定小组名称、口号；</w:t>
            </w:r>
          </w:p>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4.共同制作团队展示，现场进行展演；</w:t>
            </w:r>
          </w:p>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5.开展拓展活动，增进学员协作能力。</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足球场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17:40-18:30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晚餐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学一食堂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5"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19:00-20:30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分组交流</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学员之间交流分享，互相了解各自特长，为模拟创业提供基础。</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励耘楼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p>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周日</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07:30-08:20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早餐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8:30-11:30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课程模块二</w:t>
            </w:r>
          </w:p>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创业营销</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讲授创业环境与营销策划，增强学员对产品市场的感知能力，破解创业初期的销售困局。</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励耘楼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12:10-13:00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午餐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学一食堂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14:30-17:30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创业实训一</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由创业导师带领各小组根据自身情况设定模拟创业目标，并根据目标在导师指导下建立模拟创业团队，制定模拟创业计划，学员可根据自身情况将实际创业想法设定为创业目标。</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励耘楼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17:40-18:30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返程</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学员各自返程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文化小镇食堂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jc w:val="center"/>
        </w:trPr>
        <w:tc>
          <w:tcPr>
            <w:tcW w:w="887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第二阶段（2018年1</w:t>
            </w:r>
            <w:r>
              <w:rPr>
                <w:rFonts w:hint="eastAsia" w:ascii="方正黑体_GBK" w:hAnsi="方正黑体_GBK" w:eastAsia="方正黑体_GBK" w:cs="方正黑体_GBK"/>
                <w:color w:val="000000"/>
                <w:kern w:val="0"/>
                <w:sz w:val="24"/>
                <w:lang w:val="en-US" w:eastAsia="zh-CN"/>
              </w:rPr>
              <w:t>1</w:t>
            </w:r>
            <w:r>
              <w:rPr>
                <w:rFonts w:hint="eastAsia" w:ascii="方正黑体_GBK" w:hAnsi="方正黑体_GBK" w:eastAsia="方正黑体_GBK" w:cs="方正黑体_GBK"/>
                <w:color w:val="000000"/>
                <w:kern w:val="0"/>
                <w:sz w:val="24"/>
              </w:rPr>
              <w:t>月</w:t>
            </w:r>
            <w:r>
              <w:rPr>
                <w:rFonts w:hint="eastAsia" w:ascii="方正黑体_GBK" w:hAnsi="方正黑体_GBK" w:eastAsia="方正黑体_GBK" w:cs="方正黑体_GBK"/>
                <w:color w:val="000000"/>
                <w:kern w:val="0"/>
                <w:sz w:val="24"/>
                <w:lang w:val="en-US" w:eastAsia="zh-CN"/>
              </w:rPr>
              <w:t>16日至11月18日</w:t>
            </w:r>
            <w:r>
              <w:rPr>
                <w:rFonts w:hint="eastAsia" w:ascii="方正黑体_GBK" w:hAnsi="方正黑体_GBK" w:eastAsia="方正黑体_GBK" w:cs="方正黑体_GBK"/>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日期</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时间</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课程</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内容介绍</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011" w:type="dxa"/>
            <w:vMerge w:val="restart"/>
            <w:tcBorders>
              <w:top w:val="single" w:color="000000" w:sz="4" w:space="0"/>
              <w:left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周五</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12:00-13:20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学员报到</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参训学员报到，确认信息（身份证），入住酒店，领取培训资料。</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12:10-13:40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午餐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学一食堂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4"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14:30-17:30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课程模块三</w:t>
            </w:r>
          </w:p>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创业营销</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讲授商业模式创新与设计，探寻创业思维内在规律，使学员正确理解创业思维，帮助学员探索合理商业模式。</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17:40-18:30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晚餐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学一食堂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5" w:hRule="atLeast"/>
          <w:jc w:val="center"/>
        </w:trPr>
        <w:tc>
          <w:tcPr>
            <w:tcW w:w="1011" w:type="dxa"/>
            <w:vMerge w:val="continue"/>
            <w:tcBorders>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19:00-20:30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创业交流一</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邀请北师大珠海分校优秀创业者进行交流，了解创业过程和现状参观校园内学生自主创业项目。</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海华苑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 w:hRule="atLeast"/>
          <w:jc w:val="center"/>
        </w:trPr>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周六</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07:30-08:20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早餐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08:30-11:30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课程模块四</w:t>
            </w:r>
          </w:p>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创业战略</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讲授初创企业战略选择与发展，对比各类型初创战略的优劣，协助学员选择合适初创企业的战略定位，引领学员寻找行业蓝海。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励耘楼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12:10-13:00</w:t>
            </w:r>
          </w:p>
        </w:tc>
        <w:tc>
          <w:tcPr>
            <w:tcW w:w="1232" w:type="dxa"/>
            <w:tcBorders>
              <w:top w:val="single" w:color="000000" w:sz="4" w:space="0"/>
              <w:left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午餐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学一食堂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14:30-18:00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企业参观一</w:t>
            </w:r>
          </w:p>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创新企业</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走访珠海汤臣倍健等创新企业，让学员感受高科技企业的创新魅力，培养创新意识，增强创业信心。</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汤臣倍健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18:10-19:30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晚餐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学一食堂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5"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19:30-21:</w:t>
            </w:r>
            <w:r>
              <w:rPr>
                <w:rFonts w:hint="eastAsia" w:ascii="方正仿宋_GBK" w:hAnsi="方正仿宋_GBK" w:eastAsia="方正仿宋_GBK" w:cs="方正仿宋_GBK"/>
                <w:color w:val="000000"/>
                <w:kern w:val="0"/>
                <w:sz w:val="20"/>
                <w:szCs w:val="20"/>
                <w:lang w:val="en-US" w:eastAsia="zh-CN"/>
              </w:rPr>
              <w:t>3</w:t>
            </w:r>
            <w:r>
              <w:rPr>
                <w:rFonts w:hint="eastAsia" w:ascii="方正仿宋_GBK" w:hAnsi="方正仿宋_GBK" w:eastAsia="方正仿宋_GBK" w:cs="方正仿宋_GBK"/>
                <w:color w:val="000000"/>
                <w:kern w:val="0"/>
                <w:sz w:val="20"/>
                <w:szCs w:val="20"/>
              </w:rPr>
              <w:t>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课程模块五</w:t>
            </w:r>
          </w:p>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创业营销</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讲授创业融资类型与技巧，对比各类型初创战略的优劣，协助学员选择合适初创企业的战略定位，引领学员寻找行业蓝海。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p>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周日</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07:30-08:20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早餐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8:30-11:30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企业参观二</w:t>
            </w:r>
          </w:p>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创业园区</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走访珠海高新科技园等创业园区，了解创业园区扶持政策。</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创业园区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12:10-13:00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午餐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学一食堂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14:30-17:30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 xml:space="preserve">创业实训二 </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由创业导师指导各组优化模拟创业方案，解决创业疑问。</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励耘楼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17:40-18:30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返程</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学员各自返程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文化小镇食堂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jc w:val="center"/>
        </w:trPr>
        <w:tc>
          <w:tcPr>
            <w:tcW w:w="8875"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kern w:val="0"/>
                <w:sz w:val="24"/>
              </w:rPr>
            </w:pPr>
            <w:r>
              <w:rPr>
                <w:rFonts w:hint="eastAsia" w:ascii="方正黑体_GBK" w:hAnsi="方正黑体_GBK" w:eastAsia="方正黑体_GBK" w:cs="方正黑体_GBK"/>
                <w:color w:val="000000"/>
                <w:kern w:val="0"/>
                <w:sz w:val="24"/>
              </w:rPr>
              <w:t>第</w:t>
            </w:r>
            <w:r>
              <w:rPr>
                <w:rFonts w:hint="eastAsia" w:ascii="方正黑体_GBK" w:hAnsi="方正黑体_GBK" w:eastAsia="方正黑体_GBK" w:cs="方正黑体_GBK"/>
                <w:color w:val="000000"/>
                <w:kern w:val="0"/>
                <w:sz w:val="24"/>
                <w:lang w:val="en-US" w:eastAsia="zh-CN"/>
              </w:rPr>
              <w:t>三</w:t>
            </w:r>
            <w:r>
              <w:rPr>
                <w:rFonts w:hint="eastAsia" w:ascii="方正黑体_GBK" w:hAnsi="方正黑体_GBK" w:eastAsia="方正黑体_GBK" w:cs="方正黑体_GBK"/>
                <w:color w:val="000000"/>
                <w:kern w:val="0"/>
                <w:sz w:val="24"/>
              </w:rPr>
              <w:t>阶段（2019年</w:t>
            </w:r>
            <w:r>
              <w:rPr>
                <w:rFonts w:hint="eastAsia" w:ascii="方正黑体_GBK" w:hAnsi="方正黑体_GBK" w:eastAsia="方正黑体_GBK" w:cs="方正黑体_GBK"/>
                <w:color w:val="000000"/>
                <w:kern w:val="0"/>
                <w:sz w:val="24"/>
                <w:lang w:val="en-US" w:eastAsia="zh-CN"/>
              </w:rPr>
              <w:t>12</w:t>
            </w:r>
            <w:r>
              <w:rPr>
                <w:rFonts w:hint="eastAsia" w:ascii="方正黑体_GBK" w:hAnsi="方正黑体_GBK" w:eastAsia="方正黑体_GBK" w:cs="方正黑体_GBK"/>
                <w:color w:val="000000"/>
                <w:kern w:val="0"/>
                <w:sz w:val="24"/>
              </w:rPr>
              <w:t>月</w:t>
            </w:r>
            <w:r>
              <w:rPr>
                <w:rFonts w:hint="eastAsia" w:ascii="方正黑体_GBK" w:hAnsi="方正黑体_GBK" w:eastAsia="方正黑体_GBK" w:cs="方正黑体_GBK"/>
                <w:color w:val="000000"/>
                <w:kern w:val="0"/>
                <w:sz w:val="24"/>
                <w:lang w:val="en-US" w:eastAsia="zh-CN"/>
              </w:rPr>
              <w:t>7日至12月9日</w:t>
            </w:r>
            <w:r>
              <w:rPr>
                <w:rFonts w:hint="eastAsia" w:ascii="方正黑体_GBK" w:hAnsi="方正黑体_GBK" w:eastAsia="方正黑体_GBK" w:cs="方正黑体_GBK"/>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日期</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时间</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课程</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内容介绍</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011" w:type="dxa"/>
            <w:vMerge w:val="restart"/>
            <w:tcBorders>
              <w:top w:val="single" w:color="000000" w:sz="4" w:space="0"/>
              <w:left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周五</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12:00-13:20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学员报到</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参训学员报到，确认信息（身份证），入住酒店，领取培训资料。</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12:10-13:40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午餐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围餐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14:30-17:30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课程模块六</w:t>
            </w:r>
          </w:p>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创业法规</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讲授初创企业法律风险的识别与防范，梳理相关创业政策法规，预判创业后可能面对的法律风险，扼杀针对初创企业的恶意攻击。</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11" w:type="dxa"/>
            <w:vMerge w:val="continue"/>
            <w:tcBorders>
              <w:left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17:40-18:30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晚餐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西餐（自助）</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文化小镇食堂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jc w:val="center"/>
        </w:trPr>
        <w:tc>
          <w:tcPr>
            <w:tcW w:w="1011" w:type="dxa"/>
            <w:vMerge w:val="continue"/>
            <w:tcBorders>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19:00-20:30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创业交流二</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邀请优秀青年创业者分享创业案例，回顾</w:t>
            </w:r>
            <w:r>
              <w:rPr>
                <w:rFonts w:hint="eastAsia" w:ascii="方正仿宋_GBK" w:hAnsi="方正仿宋_GBK" w:eastAsia="方正仿宋_GBK" w:cs="方正仿宋_GBK"/>
                <w:color w:val="000000"/>
                <w:kern w:val="0"/>
                <w:sz w:val="20"/>
                <w:szCs w:val="20"/>
              </w:rPr>
              <w:t>决策优劣，传授创业经验。</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励耘楼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 w:hRule="atLeast"/>
          <w:jc w:val="center"/>
        </w:trPr>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周六</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07:30-08:20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早餐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08:30-11:30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企业参观三</w:t>
            </w:r>
          </w:p>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初创企业</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走访珠海Bee+等初创企业，了解初创企业发展历程、现状和规划。通过了解成功初创企业的经历为学员增添信心。</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Bee+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12:10-13:00</w:t>
            </w:r>
          </w:p>
        </w:tc>
        <w:tc>
          <w:tcPr>
            <w:tcW w:w="1232" w:type="dxa"/>
            <w:tcBorders>
              <w:top w:val="single" w:color="000000" w:sz="4" w:space="0"/>
              <w:left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午餐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围餐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14:30-17:30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课程模块七</w:t>
            </w:r>
          </w:p>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创业战略</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讲授创业企业创新周期特点与策略，通览产品生命周期的规律，把握生命周期各阶段的特点，采取合理策略保持企业创新性。</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励耘楼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17:40-18:30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晚餐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西餐（自助）</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文化小镇食堂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5"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19:00-20:30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 xml:space="preserve">创业实训三 </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由创业导师指导各组优化模拟创业方案，解决创业疑问。</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励耘楼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周日</w:t>
            </w: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07:30-08:20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早餐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自助餐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08:30-11:30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课程模块八</w:t>
            </w:r>
          </w:p>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创业文化</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讲授初创企业文化建设，揭示文化建设和品牌规划对企业的具体影响，传授学员掌握凝练企业文化和塑造品牌刻板印象的方法。</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励耘楼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12:10-13:00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午餐</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围餐</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14:30-17:30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结营仪式</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1.合影（15分钟）；</w:t>
            </w:r>
          </w:p>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2.各组展示学习成果（90分钟）；</w:t>
            </w:r>
          </w:p>
          <w:p>
            <w:pPr>
              <w:widowControl/>
              <w:spacing w:line="310" w:lineRule="exact"/>
              <w:jc w:val="lef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3.学员代表发言（15分钟）；</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4.团省委领导讲话（5分钟）；</w:t>
            </w:r>
            <w:r>
              <w:rPr>
                <w:rFonts w:hint="eastAsia" w:ascii="方正仿宋_GBK" w:hAnsi="方正仿宋_GBK" w:eastAsia="方正仿宋_GBK" w:cs="方正仿宋_GBK"/>
                <w:color w:val="000000"/>
                <w:kern w:val="0"/>
                <w:sz w:val="20"/>
                <w:szCs w:val="20"/>
              </w:rPr>
              <w:br w:type="textWrapping"/>
            </w:r>
            <w:r>
              <w:rPr>
                <w:rFonts w:hint="eastAsia" w:ascii="方正仿宋_GBK" w:hAnsi="方正仿宋_GBK" w:eastAsia="方正仿宋_GBK" w:cs="方正仿宋_GBK"/>
                <w:color w:val="000000"/>
                <w:kern w:val="0"/>
                <w:sz w:val="20"/>
                <w:szCs w:val="20"/>
              </w:rPr>
              <w:t>5.全体合唱《奋斗的青春》（2分钟）。</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kern w:val="0"/>
                <w:sz w:val="20"/>
                <w:szCs w:val="20"/>
              </w:rPr>
              <w:t>国际交流中心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 w:hRule="atLeast"/>
          <w:jc w:val="center"/>
        </w:trPr>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310" w:lineRule="exact"/>
              <w:jc w:val="center"/>
              <w:rPr>
                <w:rFonts w:ascii="方正仿宋_GBK" w:hAnsi="方正仿宋_GBK" w:eastAsia="方正仿宋_GBK" w:cs="方正仿宋_GBK"/>
                <w:color w:val="000000"/>
                <w:sz w:val="20"/>
                <w:szCs w:val="20"/>
              </w:rPr>
            </w:pPr>
          </w:p>
        </w:tc>
        <w:tc>
          <w:tcPr>
            <w:tcW w:w="1221"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17:40-18:30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返程</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textAlignment w:val="center"/>
              <w:rPr>
                <w:rFonts w:ascii="方正仿宋_GBK" w:hAnsi="方正仿宋_GBK" w:eastAsia="方正仿宋_GBK" w:cs="方正仿宋_GBK"/>
                <w:color w:val="000000"/>
                <w:kern w:val="0"/>
                <w:sz w:val="20"/>
                <w:szCs w:val="20"/>
              </w:rPr>
            </w:pPr>
            <w:r>
              <w:rPr>
                <w:rFonts w:hint="eastAsia" w:ascii="方正仿宋_GBK" w:hAnsi="方正仿宋_GBK" w:eastAsia="方正仿宋_GBK" w:cs="方正仿宋_GBK"/>
                <w:color w:val="000000"/>
                <w:kern w:val="0"/>
                <w:sz w:val="20"/>
                <w:szCs w:val="20"/>
              </w:rPr>
              <w:t>学员各自返程</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10" w:lineRule="exact"/>
              <w:jc w:val="center"/>
              <w:textAlignment w:val="center"/>
              <w:rPr>
                <w:rFonts w:ascii="方正仿宋_GBK" w:hAnsi="方正仿宋_GBK" w:eastAsia="方正仿宋_GBK" w:cs="方正仿宋_GBK"/>
                <w:color w:val="000000"/>
                <w:sz w:val="20"/>
                <w:szCs w:val="20"/>
              </w:rPr>
            </w:pPr>
            <w:r>
              <w:rPr>
                <w:rFonts w:hint="eastAsia" w:ascii="方正仿宋_GBK" w:hAnsi="方正仿宋_GBK" w:eastAsia="方正仿宋_GBK" w:cs="方正仿宋_GBK"/>
                <w:color w:val="000000"/>
                <w:sz w:val="20"/>
                <w:szCs w:val="20"/>
              </w:rPr>
              <w:t>文化小镇食堂</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三、部分</w:t>
      </w:r>
      <w:r>
        <w:rPr>
          <w:rFonts w:hint="eastAsia" w:ascii="方正黑体_GBK" w:hAnsi="方正黑体_GBK" w:eastAsia="方正黑体_GBK" w:cs="方正黑体_GBK"/>
          <w:b w:val="0"/>
          <w:bCs/>
          <w:sz w:val="32"/>
          <w:szCs w:val="32"/>
        </w:rPr>
        <w:t>导师简介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rPr>
          <w:rFonts w:hint="eastAsia" w:ascii="方正仿宋_GBK" w:hAnsi="方正仿宋_GBK" w:eastAsia="方正仿宋_GBK" w:cs="方正仿宋_GBK"/>
          <w:b/>
          <w:bCs w:val="0"/>
          <w:sz w:val="32"/>
          <w:szCs w:val="32"/>
          <w:lang w:eastAsia="zh-CN"/>
        </w:rPr>
      </w:pPr>
      <w:r>
        <w:rPr>
          <w:rFonts w:hint="eastAsia" w:ascii="方正仿宋_GBK" w:hAnsi="方正仿宋_GBK" w:eastAsia="方正仿宋_GBK" w:cs="方正仿宋_GBK"/>
          <w:b/>
          <w:bCs w:val="0"/>
          <w:sz w:val="32"/>
          <w:szCs w:val="32"/>
          <w:lang w:eastAsia="zh-CN"/>
        </w:rPr>
        <w:t>（一）授课导师简介</w:t>
      </w:r>
    </w:p>
    <w:p>
      <w:pPr>
        <w:spacing w:line="520" w:lineRule="exact"/>
        <w:ind w:firstLine="643"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rPr>
        <w:t>任荣伟</w:t>
      </w:r>
      <w:r>
        <w:rPr>
          <w:rFonts w:hint="eastAsia" w:ascii="方正仿宋_GBK" w:hAnsi="方正仿宋_GBK" w:eastAsia="方正仿宋_GBK" w:cs="方正仿宋_GBK"/>
          <w:sz w:val="32"/>
          <w:szCs w:val="32"/>
          <w:lang w:eastAsia="zh-CN"/>
        </w:rPr>
        <w:t>，管理学博士、工商管理博士后，</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HYPERLINK "http://baike.sogou.com/lemma/ShowInnerLink.htm?lemmaId=222231&amp;ss_c=ssc.citiao.link" \t "http://baike.sogou.com/_blank"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牛津大学</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国际发展系访问学者，早年师从中国著名</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HYPERLINK "http://baike.sogou.com/lemma/ShowInnerLink.htm?lemmaId=75032172&amp;ss_c=ssc.citiao.link" \t "http://baike.sogou.com/_blank"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管理学家</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HYPERLINK "http://baike.sogou.com/lemma/ShowInnerLink.htm?lemmaId=1048898&amp;ss_c=ssc.citiao.link" \t "http://baike.sogou.com/_blank"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周三多</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教授从事战略管理研究。现任职于</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HYPERLINK "http://baike.sogou.com/lemma/ShowInnerLink.htm?lemmaId=7566261&amp;ss_c=ssc.citiao.link" \t "http://baike.sogou.com/_blank"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中山大学管理学院</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工商管理系教授，作为</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HYPERLINK "http://baike.sogou.com/lemma/ShowInnerLink.htm?lemmaId=72439338&amp;ss_c=ssc.citiao.link" \t "http://baike.sogou.com/_blank"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中山大学创业学院</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的创始人之一，目前担任学院的教学总监，兼任</w:t>
      </w: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HYPERLINK "http://baike.sogou.com/lemma/ShowInnerLink.htm?lemmaId=49159&amp;ss_c=ssc.citiao.link" \t "http://baike.sogou.com/_blank"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中山大学</w:t>
      </w:r>
      <w:r>
        <w:rPr>
          <w:rFonts w:hint="eastAsia" w:ascii="方正仿宋_GBK" w:hAnsi="方正仿宋_GBK" w:eastAsia="方正仿宋_GBK" w:cs="方正仿宋_GBK"/>
          <w:sz w:val="32"/>
          <w:szCs w:val="32"/>
          <w:lang w:eastAsia="zh-CN"/>
        </w:rPr>
        <w:fldChar w:fldCharType="end"/>
      </w:r>
      <w:r>
        <w:rPr>
          <w:rFonts w:hint="eastAsia" w:ascii="方正仿宋_GBK" w:hAnsi="方正仿宋_GBK" w:eastAsia="方正仿宋_GBK" w:cs="方正仿宋_GBK"/>
          <w:sz w:val="32"/>
          <w:szCs w:val="32"/>
          <w:lang w:eastAsia="zh-CN"/>
        </w:rPr>
        <w:t>创业中心常务副主任。</w:t>
      </w:r>
    </w:p>
    <w:p>
      <w:pPr>
        <w:spacing w:line="520" w:lineRule="exact"/>
        <w:rPr>
          <w:rFonts w:ascii="方正仿宋_GBK" w:hAnsi="方正仿宋_GBK" w:eastAsia="方正仿宋_GBK" w:cs="方正仿宋_GBK"/>
          <w:b/>
          <w:sz w:val="28"/>
          <w:szCs w:val="28"/>
        </w:rPr>
      </w:pPr>
    </w:p>
    <w:p>
      <w:pPr>
        <w:spacing w:line="520" w:lineRule="exact"/>
        <w:ind w:firstLine="643"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rPr>
        <w:t>祁明德，</w:t>
      </w:r>
      <w:r>
        <w:rPr>
          <w:rFonts w:hint="eastAsia" w:ascii="方正仿宋_GBK" w:hAnsi="方正仿宋_GBK" w:eastAsia="方正仿宋_GBK" w:cs="方正仿宋_GBK"/>
          <w:sz w:val="32"/>
          <w:szCs w:val="32"/>
          <w:lang w:eastAsia="zh-CN"/>
        </w:rPr>
        <w:t>管理学博士，广东工业大学管理学院教授，硕士研究生导师。主要从事创新创业教育、商业模式、市场营销、企业战略与转型升级等方面的教学和科研工作。指导学生获得“挑战杯”创业竞赛省级、国家级大赛金奖多次，2015年获得百森商学院创新创业教育师资认证，获得英国国家教育中心NCEE创业导师认证。广东省系统工程学会会员、广东省人力资源研究会互联网创业研究院特聘专家、广东省韶关市创新创业发展专家库专家、广东省电子商务商会专家委员会专家。出版了《创新创业基础》（机械工业出版社，2016年8月）、《创业学什么：思维与方法论》（国家行政学院出版社，2017年10月）、《创业如何教》（机械工业出版社，2017年10月）等教材。在广东工业大学开发并承担了面向本科生和面向MBA学员的《创业思维与行动》课程。在创新创业教育方面分别获得了广东省创新创业教育项目：《创业思维与行动》课程建设项目；广州市高校创新创业教育项目《创新创业三层次课程体系开发研究》和《2017广州高校精益创业训练营》。</w:t>
      </w:r>
    </w:p>
    <w:p>
      <w:pPr>
        <w:spacing w:line="520" w:lineRule="exact"/>
        <w:rPr>
          <w:rFonts w:ascii="方正仿宋_GBK" w:hAnsi="方正仿宋_GBK" w:eastAsia="方正仿宋_GBK" w:cs="方正仿宋_GBK"/>
          <w:sz w:val="28"/>
          <w:szCs w:val="28"/>
        </w:rPr>
      </w:pPr>
    </w:p>
    <w:p>
      <w:pPr>
        <w:spacing w:line="520" w:lineRule="exact"/>
        <w:ind w:firstLine="643"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rPr>
        <w:t>郑勇，</w:t>
      </w:r>
      <w:r>
        <w:rPr>
          <w:rFonts w:hint="eastAsia" w:ascii="方正仿宋_GBK" w:hAnsi="方正仿宋_GBK" w:eastAsia="方正仿宋_GBK" w:cs="方正仿宋_GBK"/>
          <w:sz w:val="32"/>
          <w:szCs w:val="32"/>
          <w:lang w:eastAsia="zh-CN"/>
        </w:rPr>
        <w:t>金融学博士，北京师范大学珠海分校国际商学部教授，中南财经政法大学会计与金融专业经济学学士，中南财经政法大学经济史硕士，澳门科技大学博士。主讲课程：公司财务管理，行为金融学，会计预测学；研究方向：管理与金融预测、微小经济体转型国际比较。</w:t>
      </w:r>
    </w:p>
    <w:p>
      <w:pPr>
        <w:spacing w:line="520" w:lineRule="exact"/>
        <w:rPr>
          <w:rFonts w:ascii="方正仿宋_GBK" w:hAnsi="方正仿宋_GBK" w:eastAsia="方正仿宋_GBK" w:cs="方正仿宋_GBK"/>
          <w:sz w:val="28"/>
          <w:szCs w:val="28"/>
        </w:rPr>
      </w:pPr>
    </w:p>
    <w:p>
      <w:pPr>
        <w:spacing w:line="520" w:lineRule="exact"/>
        <w:ind w:firstLine="643"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rPr>
        <w:t>孙宏友，</w:t>
      </w:r>
      <w:r>
        <w:rPr>
          <w:rFonts w:hint="eastAsia" w:ascii="方正仿宋_GBK" w:hAnsi="方正仿宋_GBK" w:eastAsia="方正仿宋_GBK" w:cs="方正仿宋_GBK"/>
          <w:sz w:val="32"/>
          <w:szCs w:val="32"/>
          <w:lang w:eastAsia="zh-CN"/>
        </w:rPr>
        <w:t>法学博士，北京师范大学珠海分校法政学院法学副教授，北师大珠海分校普通法研究中心主任。澳门大学法学院国际商法博士；国际破产协会（Insol International）会员，珠海仲裁委员会仲裁员，澳大利亚国立大学法学院、墨尔本大学法学院及英国德蒙福特商法学院访问学者。英国法学名著《公司目标》主译。主要研究方向为国际商法与破产法。</w:t>
      </w:r>
    </w:p>
    <w:p>
      <w:pPr>
        <w:spacing w:line="520" w:lineRule="exact"/>
        <w:rPr>
          <w:rFonts w:ascii="方正仿宋_GBK" w:hAnsi="方正仿宋_GBK" w:eastAsia="方正仿宋_GBK" w:cs="方正仿宋_GBK"/>
          <w:b/>
          <w:sz w:val="28"/>
          <w:szCs w:val="28"/>
        </w:rPr>
      </w:pPr>
    </w:p>
    <w:p>
      <w:pPr>
        <w:spacing w:line="520" w:lineRule="exact"/>
        <w:ind w:firstLine="643"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rPr>
        <w:t>侯飞，</w:t>
      </w:r>
      <w:r>
        <w:rPr>
          <w:rFonts w:hint="eastAsia" w:ascii="方正仿宋_GBK" w:hAnsi="方正仿宋_GBK" w:eastAsia="方正仿宋_GBK" w:cs="方正仿宋_GBK"/>
          <w:sz w:val="32"/>
          <w:szCs w:val="32"/>
          <w:lang w:eastAsia="zh-CN"/>
        </w:rPr>
        <w:t>管理学博士，</w:t>
      </w:r>
      <w:bookmarkStart w:id="0" w:name="OLE_LINK1"/>
      <w:r>
        <w:rPr>
          <w:rFonts w:hint="eastAsia" w:ascii="方正仿宋_GBK" w:hAnsi="方正仿宋_GBK" w:eastAsia="方正仿宋_GBK" w:cs="方正仿宋_GBK"/>
          <w:sz w:val="32"/>
          <w:szCs w:val="32"/>
          <w:lang w:eastAsia="zh-CN"/>
        </w:rPr>
        <w:t>北京师范大学珠海分校</w:t>
      </w:r>
      <w:bookmarkEnd w:id="0"/>
      <w:r>
        <w:rPr>
          <w:rFonts w:hint="eastAsia" w:ascii="方正仿宋_GBK" w:hAnsi="方正仿宋_GBK" w:eastAsia="方正仿宋_GBK" w:cs="方正仿宋_GBK"/>
          <w:sz w:val="32"/>
          <w:szCs w:val="32"/>
          <w:lang w:eastAsia="zh-CN"/>
        </w:rPr>
        <w:t>管理学院副教授。武汉大学及英国诺森比亚大学双MBA，华中科技大学工学硕士，吉林大学管理学博士（研究方向：创业管理）。曾任管理学院院长助理等。曾获校级“优秀毕业论文（设计）指导教师”称号研究方向及领域：创业及组织行为研究。近年来先后在《统计与决策》、《社会科学战线》、《会计与经济研究》、《管理现代化》、《产经评论》等中文核心期刊发表多篇学术论文。参加多项科研项目研究、参加多次国际学术会议。</w:t>
      </w:r>
    </w:p>
    <w:p>
      <w:pPr>
        <w:spacing w:line="520" w:lineRule="exact"/>
        <w:ind w:firstLine="640" w:firstLineChars="200"/>
        <w:rPr>
          <w:rFonts w:hint="eastAsia" w:ascii="方正仿宋_GBK" w:hAnsi="方正仿宋_GBK" w:eastAsia="方正仿宋_GBK" w:cs="方正仿宋_GBK"/>
          <w:sz w:val="32"/>
          <w:szCs w:val="32"/>
          <w:lang w:eastAsia="zh-CN"/>
        </w:rPr>
      </w:pPr>
    </w:p>
    <w:p>
      <w:pPr>
        <w:spacing w:line="520" w:lineRule="exact"/>
        <w:ind w:firstLine="643"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rPr>
        <w:t>粟郁，</w:t>
      </w:r>
      <w:r>
        <w:rPr>
          <w:rFonts w:hint="eastAsia" w:ascii="方正仿宋_GBK" w:hAnsi="方正仿宋_GBK" w:eastAsia="方正仿宋_GBK" w:cs="方正仿宋_GBK"/>
          <w:sz w:val="32"/>
          <w:szCs w:val="32"/>
          <w:lang w:eastAsia="zh-CN"/>
        </w:rPr>
        <w:t>经济学博士，北京师范大学珠海分校管理学院副教授。主要从事市场营销和产业经济领域的教学、科研及咨询工作，有丰富的管理咨询、企业培训的工作经验。</w:t>
      </w:r>
    </w:p>
    <w:p>
      <w:pPr>
        <w:spacing w:line="520" w:lineRule="exact"/>
        <w:ind w:firstLine="640" w:firstLineChars="200"/>
        <w:rPr>
          <w:rFonts w:hint="eastAsia" w:ascii="方正仿宋_GBK" w:hAnsi="方正仿宋_GBK" w:eastAsia="方正仿宋_GBK" w:cs="方正仿宋_GBK"/>
          <w:sz w:val="32"/>
          <w:szCs w:val="32"/>
          <w:lang w:eastAsia="zh-CN"/>
        </w:rPr>
      </w:pPr>
    </w:p>
    <w:p>
      <w:pPr>
        <w:spacing w:line="520" w:lineRule="exact"/>
        <w:ind w:firstLine="643"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rPr>
        <w:t>李晓辉，</w:t>
      </w:r>
      <w:r>
        <w:rPr>
          <w:rFonts w:hint="eastAsia" w:ascii="方正仿宋_GBK" w:hAnsi="方正仿宋_GBK" w:eastAsia="方正仿宋_GBK" w:cs="方正仿宋_GBK"/>
          <w:sz w:val="32"/>
          <w:szCs w:val="32"/>
          <w:lang w:eastAsia="zh-CN"/>
        </w:rPr>
        <w:t>管理学博士，北京师范大学珠海分校管理学院讲师，北京师范大学管理学硕士、博士。曾先后在河北省公安厅、甘肃省某大型国企培训中心、湖南省某大学、民政培训中心从事管理、培训和教学工作，也有成立、管理公司的经历，参与民政部、教育部、地方政府和盖茨基金会的多项课题。长期从事创业教育和研究，致力于工作经验、创业教育和社会现实的融合。在民政部作期间，与通州区新通国际枢纽型社区社会组织孵化中心有密切合作（北京市示范社区）；在珠海市工作期间，为南方软件园区孵化企业讲授创业战略、市场营销等课程。</w:t>
      </w:r>
    </w:p>
    <w:p>
      <w:pPr>
        <w:spacing w:line="520" w:lineRule="exact"/>
        <w:ind w:firstLine="640" w:firstLineChars="200"/>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3" w:firstLineChars="200"/>
        <w:jc w:val="both"/>
        <w:textAlignment w:val="auto"/>
        <w:rPr>
          <w:rFonts w:hint="eastAsia" w:ascii="方正仿宋_GBK" w:hAnsi="方正仿宋_GBK" w:eastAsia="方正仿宋_GBK" w:cs="方正仿宋_GBK"/>
          <w:b/>
          <w:bCs w:val="0"/>
          <w:sz w:val="32"/>
          <w:szCs w:val="32"/>
          <w:lang w:eastAsia="zh-CN"/>
        </w:rPr>
      </w:pPr>
      <w:r>
        <w:rPr>
          <w:rFonts w:hint="eastAsia" w:ascii="方正仿宋_GBK" w:hAnsi="方正仿宋_GBK" w:eastAsia="方正仿宋_GBK" w:cs="方正仿宋_GBK"/>
          <w:b/>
          <w:bCs w:val="0"/>
          <w:sz w:val="32"/>
          <w:szCs w:val="32"/>
          <w:lang w:eastAsia="zh-CN"/>
        </w:rPr>
        <w:t>（二）实践导师简介</w:t>
      </w:r>
    </w:p>
    <w:p>
      <w:pPr>
        <w:spacing w:line="520" w:lineRule="exact"/>
        <w:ind w:firstLine="643" w:firstLineChars="200"/>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sz w:val="32"/>
          <w:szCs w:val="32"/>
          <w:lang w:eastAsia="zh-CN"/>
        </w:rPr>
        <w:t>田丰，</w:t>
      </w:r>
      <w:r>
        <w:rPr>
          <w:rFonts w:hint="eastAsia" w:ascii="方正仿宋_GBK" w:hAnsi="方正仿宋_GBK" w:eastAsia="方正仿宋_GBK" w:cs="方正仿宋_GBK"/>
          <w:b w:val="0"/>
          <w:bCs/>
          <w:sz w:val="32"/>
          <w:szCs w:val="32"/>
          <w:lang w:eastAsia="zh-CN"/>
        </w:rPr>
        <w:t>博士，光驭科技创始人&amp;CEO，复旦大学高分子化学与物理硕士，剑桥大学化学博士，哈佛大学应用物理博士后，大连工业大学客座教授，中国青年博士联盟副会长。曾任剑桥大学圣埃德蒙学院爱丁堡公爵学者，哈佛大学米其林研究员，米其林咨询师等职位。曾获剑桥大学校长奖、英国理查兹纪念奖、美国戈登研讨会奖、英国国会SET for Britain研讨会奖、剑桥大学海外基金会、英联邦基金会、宪章基金会、圣埃德蒙学院奖等奖项。在以《自然--快讯》为代表的国际知名期刊上发表文章十篇，被引用近300次。获珠海市高层次人才，珠海市香洲区高端产业人才等称号。</w:t>
      </w:r>
    </w:p>
    <w:p>
      <w:pPr>
        <w:spacing w:line="520" w:lineRule="exact"/>
        <w:ind w:firstLine="640" w:firstLineChars="200"/>
        <w:rPr>
          <w:rFonts w:hint="eastAsia" w:ascii="方正仿宋_GBK" w:hAnsi="方正仿宋_GBK" w:eastAsia="方正仿宋_GBK" w:cs="方正仿宋_GBK"/>
          <w:b w:val="0"/>
          <w:bCs/>
          <w:sz w:val="32"/>
          <w:szCs w:val="32"/>
          <w:lang w:eastAsia="zh-CN"/>
        </w:rPr>
      </w:pPr>
    </w:p>
    <w:p>
      <w:pPr>
        <w:spacing w:line="520" w:lineRule="exact"/>
        <w:ind w:firstLine="643" w:firstLineChars="200"/>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sz w:val="32"/>
          <w:szCs w:val="32"/>
          <w:lang w:eastAsia="zh-CN"/>
        </w:rPr>
        <w:t>李国泰，</w:t>
      </w:r>
      <w:r>
        <w:rPr>
          <w:rFonts w:hint="eastAsia" w:ascii="方正仿宋_GBK" w:hAnsi="方正仿宋_GBK" w:eastAsia="方正仿宋_GBK" w:cs="方正仿宋_GBK"/>
          <w:b w:val="0"/>
          <w:bCs/>
          <w:sz w:val="32"/>
          <w:szCs w:val="32"/>
          <w:lang w:eastAsia="zh-CN"/>
        </w:rPr>
        <w:t>12年的计算机通信研发和管理经验，ICT领域多次成功创业。2008获MEXT全奖赴名古屋工业大学攻读计算机通信博士，后任高级研究员。与国际著名通信企业DoCoMo、IIJ、OCN等合作研究下一代信息技术。</w:t>
      </w:r>
    </w:p>
    <w:p>
      <w:pPr>
        <w:spacing w:line="520" w:lineRule="exact"/>
        <w:ind w:firstLine="640" w:firstLineChars="200"/>
        <w:rPr>
          <w:rFonts w:hint="eastAsia" w:ascii="方正仿宋_GBK" w:hAnsi="方正仿宋_GBK" w:eastAsia="方正仿宋_GBK" w:cs="方正仿宋_GBK"/>
          <w:b w:val="0"/>
          <w:bCs/>
          <w:sz w:val="32"/>
          <w:szCs w:val="32"/>
          <w:lang w:eastAsia="zh-CN"/>
        </w:rPr>
      </w:pPr>
    </w:p>
    <w:p>
      <w:pPr>
        <w:spacing w:line="520" w:lineRule="exact"/>
        <w:ind w:firstLine="643" w:firstLineChars="200"/>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sz w:val="32"/>
          <w:szCs w:val="32"/>
          <w:lang w:eastAsia="zh-CN"/>
        </w:rPr>
        <w:t>余辉，</w:t>
      </w:r>
      <w:r>
        <w:rPr>
          <w:rFonts w:hint="eastAsia" w:ascii="方正仿宋_GBK" w:hAnsi="方正仿宋_GBK" w:eastAsia="方正仿宋_GBK" w:cs="方正仿宋_GBK"/>
          <w:b w:val="0"/>
          <w:bCs/>
          <w:sz w:val="32"/>
          <w:szCs w:val="32"/>
          <w:lang w:eastAsia="zh-CN"/>
        </w:rPr>
        <w:t>华显光电技术控股有限公司（HK00334）副总经理，硕士研究生学历，十余年市场与产品管理经验，入选惠州市高层次人才库，北师大珠海分校管理学院特聘讲师。</w:t>
      </w:r>
    </w:p>
    <w:p>
      <w:pPr>
        <w:spacing w:line="520" w:lineRule="exact"/>
        <w:ind w:firstLine="640" w:firstLineChars="200"/>
        <w:rPr>
          <w:rFonts w:hint="eastAsia" w:ascii="方正仿宋_GBK" w:hAnsi="方正仿宋_GBK" w:eastAsia="方正仿宋_GBK" w:cs="方正仿宋_GBK"/>
          <w:b w:val="0"/>
          <w:bCs/>
          <w:sz w:val="32"/>
          <w:szCs w:val="32"/>
          <w:lang w:eastAsia="zh-CN"/>
        </w:rPr>
      </w:pPr>
    </w:p>
    <w:p>
      <w:pPr>
        <w:spacing w:line="520" w:lineRule="exact"/>
        <w:ind w:firstLine="643" w:firstLineChars="200"/>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sz w:val="32"/>
          <w:szCs w:val="32"/>
          <w:lang w:eastAsia="zh-CN"/>
        </w:rPr>
        <w:t>杜琳琳，</w:t>
      </w:r>
      <w:r>
        <w:rPr>
          <w:rFonts w:hint="eastAsia" w:ascii="方正仿宋_GBK" w:hAnsi="方正仿宋_GBK" w:eastAsia="方正仿宋_GBK" w:cs="方正仿宋_GBK"/>
          <w:b w:val="0"/>
          <w:bCs/>
          <w:sz w:val="32"/>
          <w:szCs w:val="32"/>
          <w:lang w:eastAsia="zh-CN"/>
        </w:rPr>
        <w:t>广州市启零信息科技有限公司 创始人、CEO；人力资源管理与应用心理学双学士，人民大学人力资源管理专业硕士在读，国家二级人力资源管理师，国家高级人力资源法务师；擅长整体人才培养体系设计及课程开发，专注于团队辅导咨询和创业者个案咨询；拥有团队培养工作经验，培养团队成员过百人，服务超过十万人次；曾任德中儿童产业基金运营总监、华偲天科教育发展公司高级咨询师、智游啦旅行网人力资源总监、怡安翰威特助理顾问，服务行业及领域涉及：大型国有电力企业、互联网旅游、教育科技、产业基金等。</w:t>
      </w:r>
    </w:p>
    <w:p>
      <w:pPr>
        <w:spacing w:line="520" w:lineRule="exact"/>
        <w:ind w:firstLine="640" w:firstLineChars="200"/>
        <w:rPr>
          <w:rFonts w:hint="eastAsia" w:ascii="方正仿宋_GBK" w:hAnsi="方正仿宋_GBK" w:eastAsia="方正仿宋_GBK" w:cs="方正仿宋_GBK"/>
          <w:b w:val="0"/>
          <w:bCs/>
          <w:sz w:val="32"/>
          <w:szCs w:val="32"/>
          <w:lang w:eastAsia="zh-CN"/>
        </w:rPr>
      </w:pPr>
    </w:p>
    <w:p>
      <w:pPr>
        <w:spacing w:line="520" w:lineRule="exact"/>
        <w:ind w:firstLine="643" w:firstLineChars="200"/>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sz w:val="32"/>
          <w:szCs w:val="32"/>
          <w:lang w:eastAsia="zh-CN"/>
        </w:rPr>
        <w:t>温晓冬，</w:t>
      </w:r>
      <w:r>
        <w:rPr>
          <w:rFonts w:hint="eastAsia" w:ascii="方正仿宋_GBK" w:hAnsi="方正仿宋_GBK" w:eastAsia="方正仿宋_GBK" w:cs="方正仿宋_GBK"/>
          <w:b w:val="0"/>
          <w:bCs/>
          <w:sz w:val="32"/>
          <w:szCs w:val="32"/>
          <w:lang w:eastAsia="zh-CN"/>
        </w:rPr>
        <w:t>珠海藤家信息技术有限公司创始人，CEO。东北大学科学技术与哲学专业硕士，公司主要从事混合现实运动技术及产品开发。</w:t>
      </w:r>
    </w:p>
    <w:p>
      <w:pPr>
        <w:spacing w:line="520" w:lineRule="exact"/>
        <w:ind w:firstLine="640" w:firstLineChars="200"/>
        <w:rPr>
          <w:rFonts w:hint="eastAsia" w:ascii="方正仿宋_GBK" w:hAnsi="方正仿宋_GBK" w:eastAsia="方正仿宋_GBK" w:cs="方正仿宋_GBK"/>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rPr>
          <w:rFonts w:hint="eastAsia" w:ascii="方正仿宋_GBK" w:hAnsi="方正仿宋_GBK" w:eastAsia="方正仿宋_GBK" w:cs="方正仿宋_GBK"/>
          <w:b/>
          <w:sz w:val="32"/>
          <w:szCs w:val="32"/>
          <w:lang w:val="en-US" w:eastAsia="zh-CN"/>
        </w:rPr>
      </w:pPr>
      <w:r>
        <w:rPr>
          <w:rFonts w:hint="eastAsia" w:ascii="方正仿宋_GBK" w:hAnsi="方正仿宋_GBK" w:eastAsia="方正仿宋_GBK" w:cs="方正仿宋_GBK"/>
          <w:b/>
          <w:sz w:val="32"/>
          <w:szCs w:val="32"/>
          <w:lang w:val="en-US" w:eastAsia="zh-CN"/>
        </w:rPr>
        <w:t>（三）合作投资人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bCs w:val="0"/>
          <w:sz w:val="32"/>
          <w:szCs w:val="32"/>
          <w:lang w:eastAsia="zh-CN"/>
        </w:rPr>
        <w:t>林建强</w:t>
      </w:r>
      <w:r>
        <w:rPr>
          <w:rFonts w:hint="eastAsia" w:ascii="方正仿宋_GBK" w:hAnsi="方正仿宋_GBK" w:eastAsia="方正仿宋_GBK" w:cs="方正仿宋_GBK"/>
          <w:b/>
          <w:bCs w:val="0"/>
          <w:sz w:val="32"/>
          <w:szCs w:val="32"/>
          <w:lang w:val="en-US" w:eastAsia="zh-CN"/>
        </w:rPr>
        <w:t>，</w:t>
      </w:r>
      <w:r>
        <w:rPr>
          <w:rFonts w:hint="eastAsia" w:ascii="方正仿宋_GBK" w:hAnsi="方正仿宋_GBK" w:eastAsia="方正仿宋_GBK" w:cs="方正仿宋_GBK"/>
          <w:b w:val="0"/>
          <w:bCs/>
          <w:sz w:val="32"/>
          <w:szCs w:val="32"/>
          <w:lang w:eastAsia="zh-CN"/>
        </w:rPr>
        <w:t>光大we谷总经理。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bCs w:val="0"/>
          <w:sz w:val="32"/>
          <w:szCs w:val="32"/>
          <w:lang w:eastAsia="zh-CN"/>
        </w:rPr>
        <w:t>翟志勇，</w:t>
      </w:r>
      <w:r>
        <w:rPr>
          <w:rFonts w:hint="eastAsia" w:ascii="方正仿宋_GBK" w:hAnsi="方正仿宋_GBK" w:eastAsia="方正仿宋_GBK" w:cs="方正仿宋_GBK"/>
          <w:b w:val="0"/>
          <w:bCs/>
          <w:sz w:val="32"/>
          <w:szCs w:val="32"/>
          <w:lang w:eastAsia="zh-CN"/>
        </w:rPr>
        <w:t>深圳四方网盈孵化器副总经理。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rPr>
          <w:rFonts w:hint="eastAsia" w:ascii="方正仿宋_GBK" w:hAnsi="方正仿宋_GBK" w:eastAsia="方正仿宋_GBK" w:cs="方正仿宋_GBK"/>
          <w:b w:val="0"/>
          <w:bCs/>
          <w:color w:val="auto"/>
          <w:sz w:val="32"/>
          <w:szCs w:val="32"/>
          <w:lang w:eastAsia="zh-CN"/>
        </w:rPr>
      </w:pPr>
      <w:r>
        <w:rPr>
          <w:rFonts w:hint="eastAsia" w:ascii="方正仿宋_GBK" w:hAnsi="方正仿宋_GBK" w:eastAsia="方正仿宋_GBK" w:cs="方正仿宋_GBK"/>
          <w:b/>
          <w:bCs w:val="0"/>
          <w:sz w:val="32"/>
          <w:szCs w:val="32"/>
          <w:lang w:eastAsia="zh-CN"/>
        </w:rPr>
        <w:t>张</w:t>
      </w:r>
      <w:r>
        <w:rPr>
          <w:rFonts w:hint="eastAsia" w:ascii="方正仿宋_GBK" w:hAnsi="方正仿宋_GBK" w:eastAsia="方正仿宋_GBK" w:cs="方正仿宋_GBK"/>
          <w:b/>
          <w:bCs w:val="0"/>
          <w:sz w:val="32"/>
          <w:szCs w:val="32"/>
          <w:lang w:val="en-US" w:eastAsia="zh-CN"/>
        </w:rPr>
        <w:t xml:space="preserve">  </w:t>
      </w:r>
      <w:r>
        <w:rPr>
          <w:rFonts w:hint="eastAsia" w:ascii="方正仿宋_GBK" w:hAnsi="方正仿宋_GBK" w:eastAsia="方正仿宋_GBK" w:cs="方正仿宋_GBK"/>
          <w:b/>
          <w:bCs w:val="0"/>
          <w:sz w:val="32"/>
          <w:szCs w:val="32"/>
          <w:lang w:eastAsia="zh-CN"/>
        </w:rPr>
        <w:t>伟，</w:t>
      </w:r>
      <w:r>
        <w:rPr>
          <w:rFonts w:hint="eastAsia" w:ascii="方正仿宋_GBK" w:hAnsi="方正仿宋_GBK" w:eastAsia="方正仿宋_GBK" w:cs="方正仿宋_GBK"/>
          <w:b w:val="0"/>
          <w:bCs/>
          <w:color w:val="auto"/>
          <w:sz w:val="32"/>
          <w:szCs w:val="32"/>
          <w:lang w:eastAsia="zh-CN"/>
        </w:rPr>
        <w:t>广东华高投资合伙人。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rPr>
          <w:rFonts w:hint="eastAsia" w:ascii="方正仿宋_GBK" w:hAnsi="方正仿宋_GBK" w:eastAsia="方正仿宋_GBK" w:cs="方正仿宋_GBK"/>
          <w:b w:val="0"/>
          <w:bCs/>
          <w:color w:val="auto"/>
          <w:sz w:val="32"/>
          <w:szCs w:val="32"/>
          <w:lang w:eastAsia="zh-CN"/>
        </w:rPr>
      </w:pPr>
      <w:r>
        <w:rPr>
          <w:rFonts w:hint="eastAsia" w:ascii="方正仿宋_GBK" w:hAnsi="方正仿宋_GBK" w:eastAsia="方正仿宋_GBK" w:cs="方正仿宋_GBK"/>
          <w:b/>
          <w:bCs w:val="0"/>
          <w:color w:val="auto"/>
          <w:sz w:val="32"/>
          <w:szCs w:val="32"/>
          <w:lang w:eastAsia="zh-CN"/>
        </w:rPr>
        <w:t>黄海军，</w:t>
      </w:r>
      <w:r>
        <w:rPr>
          <w:rFonts w:hint="eastAsia" w:ascii="方正仿宋_GBK" w:hAnsi="方正仿宋_GBK" w:eastAsia="方正仿宋_GBK" w:cs="方正仿宋_GBK"/>
          <w:b w:val="0"/>
          <w:bCs/>
          <w:color w:val="auto"/>
          <w:sz w:val="32"/>
          <w:szCs w:val="32"/>
          <w:lang w:eastAsia="zh-CN"/>
        </w:rPr>
        <w:t>广州佳都集团有限公司运营总监。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val="0"/>
          <w:color w:val="auto"/>
          <w:sz w:val="32"/>
          <w:szCs w:val="32"/>
          <w:lang w:eastAsia="zh-CN"/>
        </w:rPr>
        <w:t>彭斯特，</w:t>
      </w:r>
      <w:r>
        <w:rPr>
          <w:rFonts w:hint="eastAsia" w:ascii="方正仿宋_GBK" w:hAnsi="方正仿宋_GBK" w:eastAsia="方正仿宋_GBK" w:cs="方正仿宋_GBK"/>
          <w:b w:val="0"/>
          <w:bCs/>
          <w:color w:val="auto"/>
          <w:sz w:val="32"/>
          <w:szCs w:val="32"/>
          <w:lang w:eastAsia="zh-CN"/>
        </w:rPr>
        <w:t>广东国民创投</w:t>
      </w:r>
      <w:r>
        <w:rPr>
          <w:rFonts w:hint="eastAsia" w:ascii="方正仿宋_GBK" w:hAnsi="方正仿宋_GBK" w:eastAsia="方正仿宋_GBK" w:cs="方正仿宋_GBK"/>
          <w:b w:val="0"/>
          <w:bCs/>
          <w:color w:val="auto"/>
          <w:sz w:val="32"/>
          <w:szCs w:val="32"/>
          <w:lang w:val="en-US" w:eastAsia="zh-CN"/>
        </w:rPr>
        <w:t>董事</w:t>
      </w:r>
      <w:r>
        <w:rPr>
          <w:rFonts w:hint="eastAsia" w:ascii="方正仿宋_GBK" w:hAnsi="方正仿宋_GBK" w:eastAsia="方正仿宋_GBK" w:cs="方正仿宋_GBK"/>
          <w:b w:val="0"/>
          <w:bCs/>
          <w:color w:val="auto"/>
          <w:sz w:val="32"/>
          <w:szCs w:val="32"/>
          <w:lang w:eastAsia="zh-CN"/>
        </w:rPr>
        <w:t>总经理。</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4526C"/>
    <w:multiLevelType w:val="singleLevel"/>
    <w:tmpl w:val="5B54526C"/>
    <w:lvl w:ilvl="0" w:tentative="0">
      <w:start w:val="1"/>
      <w:numFmt w:val="chineseCounting"/>
      <w:suff w:val="nothing"/>
      <w:lvlText w:val="（%1）"/>
      <w:lvlJc w:val="left"/>
    </w:lvl>
  </w:abstractNum>
  <w:abstractNum w:abstractNumId="1">
    <w:nsid w:val="5BBC03F3"/>
    <w:multiLevelType w:val="singleLevel"/>
    <w:tmpl w:val="5BBC03F3"/>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A81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2018-10-12T08:53:23Z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